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7749" w14:textId="3CFBFD61" w:rsidR="0063255D" w:rsidRDefault="0063255D" w:rsidP="003D6D58">
      <w:pPr>
        <w:jc w:val="both"/>
        <w:rPr>
          <w:b/>
          <w:u w:val="single"/>
        </w:rPr>
      </w:pPr>
      <w:r w:rsidRPr="0063255D">
        <w:rPr>
          <w:b/>
          <w:u w:val="single"/>
        </w:rPr>
        <w:t>ANNONCE AAP BOOSTER INNOVATION</w:t>
      </w:r>
      <w:r w:rsidR="0033747E">
        <w:rPr>
          <w:b/>
          <w:u w:val="single"/>
        </w:rPr>
        <w:t xml:space="preserve"> / </w:t>
      </w:r>
      <w:r w:rsidR="00A8312D">
        <w:rPr>
          <w:b/>
          <w:u w:val="single"/>
        </w:rPr>
        <w:t>SEPTEMBRE</w:t>
      </w:r>
      <w:r w:rsidR="0033747E">
        <w:rPr>
          <w:b/>
          <w:u w:val="single"/>
        </w:rPr>
        <w:t xml:space="preserve"> 20</w:t>
      </w:r>
      <w:r w:rsidR="00DB32B7">
        <w:rPr>
          <w:b/>
          <w:u w:val="single"/>
        </w:rPr>
        <w:t>21</w:t>
      </w:r>
    </w:p>
    <w:p w14:paraId="7E7BD70D" w14:textId="77777777" w:rsidR="0063255D" w:rsidRDefault="0063255D" w:rsidP="003D6D58">
      <w:pPr>
        <w:jc w:val="both"/>
      </w:pPr>
      <w:r w:rsidRPr="006D0456">
        <w:rPr>
          <w:b/>
        </w:rPr>
        <w:t xml:space="preserve">L’AP-HP </w:t>
      </w:r>
      <w:r w:rsidR="006B2EF1">
        <w:rPr>
          <w:b/>
        </w:rPr>
        <w:t xml:space="preserve">a </w:t>
      </w:r>
      <w:r w:rsidRPr="006D0456">
        <w:rPr>
          <w:b/>
        </w:rPr>
        <w:t>lanc</w:t>
      </w:r>
      <w:r w:rsidR="006B2EF1">
        <w:rPr>
          <w:b/>
        </w:rPr>
        <w:t>é</w:t>
      </w:r>
      <w:r w:rsidRPr="006D0456">
        <w:rPr>
          <w:b/>
        </w:rPr>
        <w:t xml:space="preserve"> en </w:t>
      </w:r>
      <w:r w:rsidR="008404A5">
        <w:rPr>
          <w:b/>
        </w:rPr>
        <w:t>janvier</w:t>
      </w:r>
      <w:r w:rsidRPr="006D0456">
        <w:rPr>
          <w:b/>
        </w:rPr>
        <w:t xml:space="preserve"> </w:t>
      </w:r>
      <w:r w:rsidR="008404A5">
        <w:rPr>
          <w:b/>
        </w:rPr>
        <w:t>2021</w:t>
      </w:r>
      <w:r w:rsidR="00DB32B7">
        <w:rPr>
          <w:b/>
        </w:rPr>
        <w:t xml:space="preserve"> </w:t>
      </w:r>
      <w:r w:rsidRPr="006D0456">
        <w:rPr>
          <w:b/>
        </w:rPr>
        <w:t>son appel à projet (AAP) « Booster Innovation »</w:t>
      </w:r>
      <w:r w:rsidR="00916325" w:rsidRPr="006D0456">
        <w:rPr>
          <w:b/>
        </w:rPr>
        <w:t xml:space="preserve"> destiné à soutenir et développer des projets issus des innovations de ses équipes</w:t>
      </w:r>
      <w:r w:rsidR="00916325" w:rsidRPr="00916325">
        <w:t xml:space="preserve"> en finançant l</w:t>
      </w:r>
      <w:r w:rsidR="00916325">
        <w:t xml:space="preserve">eur </w:t>
      </w:r>
      <w:r w:rsidR="00031557">
        <w:t>développement</w:t>
      </w:r>
      <w:r w:rsidR="00930FDC">
        <w:t xml:space="preserve"> technique (</w:t>
      </w:r>
      <w:r w:rsidR="00930FDC" w:rsidRPr="0017438A">
        <w:rPr>
          <w:i/>
        </w:rPr>
        <w:t>e.g</w:t>
      </w:r>
      <w:r w:rsidR="007401C0">
        <w:t>. validation de la preuve de concept, prototypage</w:t>
      </w:r>
      <w:r w:rsidR="00930FDC">
        <w:t>)</w:t>
      </w:r>
      <w:r w:rsidR="00916325">
        <w:t>.</w:t>
      </w:r>
    </w:p>
    <w:p w14:paraId="6FF5FC04" w14:textId="77777777" w:rsidR="0063255D" w:rsidRDefault="0063255D" w:rsidP="003D6D58">
      <w:pPr>
        <w:jc w:val="both"/>
      </w:pPr>
      <w:r>
        <w:t>Cet AAP</w:t>
      </w:r>
      <w:r w:rsidR="0076433E">
        <w:t>, piloté par l</w:t>
      </w:r>
      <w:r w:rsidR="00031557">
        <w:t xml:space="preserve">e Pôle Transfert et </w:t>
      </w:r>
      <w:r w:rsidR="008002AC">
        <w:t>Innovation</w:t>
      </w:r>
      <w:r w:rsidR="00031557">
        <w:t xml:space="preserve"> de la D</w:t>
      </w:r>
      <w:r w:rsidR="00DB32B7">
        <w:t>irec</w:t>
      </w:r>
      <w:r w:rsidR="00031557">
        <w:t xml:space="preserve">tion </w:t>
      </w:r>
      <w:r w:rsidR="00DB32B7">
        <w:t>de</w:t>
      </w:r>
      <w:r w:rsidR="00031557">
        <w:t xml:space="preserve"> la Recherche Clinique et </w:t>
      </w:r>
      <w:r w:rsidR="00DB32B7">
        <w:t>de l’Innovation (DRCI</w:t>
      </w:r>
      <w:r w:rsidR="0076433E">
        <w:t>)</w:t>
      </w:r>
      <w:r w:rsidR="00031557">
        <w:t>,</w:t>
      </w:r>
      <w:r>
        <w:t xml:space="preserve"> vise à</w:t>
      </w:r>
      <w:r w:rsidR="00E558AE" w:rsidRPr="00E558AE">
        <w:t xml:space="preserve"> financer des projets ayant un potentiel de transfert industriel rapide.</w:t>
      </w:r>
      <w:r w:rsidR="00BD2809">
        <w:t xml:space="preserve"> </w:t>
      </w:r>
      <w:r w:rsidR="00BD2809" w:rsidRPr="00BD2809">
        <w:t>L’objectif poursuivi par cet AAP est d’apporter une aide aux thérapeutiques de demain et aux technologies innovantes développées au sein de l’AP-HP.</w:t>
      </w:r>
    </w:p>
    <w:p w14:paraId="4AD21938" w14:textId="48693E44" w:rsidR="0063255D" w:rsidRDefault="00E53B54" w:rsidP="003D6D58">
      <w:pPr>
        <w:jc w:val="both"/>
      </w:pPr>
      <w:r>
        <w:t>Forte du succès d</w:t>
      </w:r>
      <w:r w:rsidR="008002AC">
        <w:t>es premiers AAP</w:t>
      </w:r>
      <w:r>
        <w:t xml:space="preserve">, </w:t>
      </w:r>
      <w:r w:rsidR="008002AC">
        <w:t>la</w:t>
      </w:r>
      <w:r>
        <w:t xml:space="preserve"> DRCI </w:t>
      </w:r>
      <w:r w:rsidR="00113043">
        <w:t xml:space="preserve">lance une </w:t>
      </w:r>
      <w:r w:rsidR="008002AC">
        <w:t>nouvell</w:t>
      </w:r>
      <w:r w:rsidR="00113043">
        <w:t xml:space="preserve">e vague </w:t>
      </w:r>
      <w:r w:rsidR="00DB32B7">
        <w:t xml:space="preserve">en </w:t>
      </w:r>
      <w:r w:rsidR="00A8312D">
        <w:t>septembre</w:t>
      </w:r>
      <w:r w:rsidR="00DB32B7">
        <w:t xml:space="preserve"> 2021</w:t>
      </w:r>
      <w:r w:rsidR="00113043">
        <w:t xml:space="preserve">. </w:t>
      </w:r>
      <w:r w:rsidR="0063255D">
        <w:t>Les candidats à ce</w:t>
      </w:r>
      <w:r w:rsidR="00DB32B7">
        <w:t xml:space="preserve"> nouvel </w:t>
      </w:r>
      <w:r w:rsidR="0063255D">
        <w:t>AAP devront démontrer</w:t>
      </w:r>
      <w:r w:rsidR="00BD2809" w:rsidRPr="00BD2809">
        <w:t xml:space="preserve"> </w:t>
      </w:r>
      <w:r w:rsidR="00BD2809">
        <w:t>que le</w:t>
      </w:r>
      <w:r w:rsidR="00BD2809" w:rsidRPr="00BD2809">
        <w:t xml:space="preserve"> développement </w:t>
      </w:r>
      <w:r w:rsidR="00BD2809">
        <w:t xml:space="preserve">de leur projet peut </w:t>
      </w:r>
      <w:r w:rsidR="00BD2809" w:rsidRPr="00BD2809">
        <w:t>rapide</w:t>
      </w:r>
      <w:r w:rsidR="00BD2809">
        <w:t>ment aboutir</w:t>
      </w:r>
      <w:r w:rsidR="00BD2809" w:rsidRPr="00BD2809">
        <w:t xml:space="preserve"> à un transfert de la technologie </w:t>
      </w:r>
      <w:r w:rsidR="00BD2809">
        <w:t xml:space="preserve">innovante </w:t>
      </w:r>
      <w:r w:rsidR="00BD2809" w:rsidRPr="00BD2809">
        <w:t>vers un partenaire industriel afin que celle-ci soit exploitée et diffusée avec un retour sur investissement pour l’AP-HP (valorisation et remboursement des fonds engagés par l’AP-HP).</w:t>
      </w:r>
    </w:p>
    <w:p w14:paraId="791E453E" w14:textId="77777777" w:rsidR="0076433E" w:rsidRDefault="0063255D" w:rsidP="003D6D58">
      <w:pPr>
        <w:jc w:val="both"/>
      </w:pPr>
      <w:r>
        <w:t xml:space="preserve">Les critères d’éligibilité </w:t>
      </w:r>
      <w:r w:rsidR="001F6B5A">
        <w:t xml:space="preserve">des projets </w:t>
      </w:r>
      <w:r>
        <w:t>sont</w:t>
      </w:r>
      <w:r w:rsidR="00F11FA0">
        <w:t> </w:t>
      </w:r>
      <w:r w:rsidR="00E94C36">
        <w:t>les suivants</w:t>
      </w:r>
      <w:r w:rsidR="00B55710">
        <w:t xml:space="preserve"> </w:t>
      </w:r>
      <w:r w:rsidR="00F11FA0">
        <w:t>:</w:t>
      </w:r>
    </w:p>
    <w:p w14:paraId="4B507E34" w14:textId="77777777" w:rsidR="00A8312D" w:rsidRDefault="0076433E" w:rsidP="00A8312D">
      <w:pPr>
        <w:pStyle w:val="Paragraphedeliste"/>
        <w:numPr>
          <w:ilvl w:val="0"/>
          <w:numId w:val="18"/>
        </w:numPr>
      </w:pPr>
      <w:r>
        <w:t>avoir bénéficié d’une première évaluation positive du potenti</w:t>
      </w:r>
      <w:r w:rsidR="001F6B5A">
        <w:t>el de valorisation par l</w:t>
      </w:r>
      <w:r w:rsidR="003D0EBC">
        <w:t xml:space="preserve">e </w:t>
      </w:r>
      <w:r w:rsidR="001F6B5A">
        <w:t>P</w:t>
      </w:r>
      <w:r w:rsidR="003D0EBC">
        <w:t xml:space="preserve">ôle Transfert &amp; </w:t>
      </w:r>
      <w:r w:rsidR="001F6B5A">
        <w:t>I</w:t>
      </w:r>
      <w:r w:rsidR="003D0EBC">
        <w:t>nnovation</w:t>
      </w:r>
    </w:p>
    <w:p w14:paraId="5BA683CA" w14:textId="77777777" w:rsidR="00A8312D" w:rsidRDefault="001F6B5A" w:rsidP="00A8312D">
      <w:pPr>
        <w:pStyle w:val="Paragraphedeliste"/>
        <w:numPr>
          <w:ilvl w:val="0"/>
          <w:numId w:val="18"/>
        </w:numPr>
      </w:pPr>
      <w:r>
        <w:t>avoir</w:t>
      </w:r>
      <w:r w:rsidR="0076433E">
        <w:t xml:space="preserve"> fait l’objet d’une protection (brevet, logiciel ou savoir-faire)</w:t>
      </w:r>
      <w:r w:rsidR="008404A5">
        <w:t> ; ou protection en cours par le Pôle Transfert &amp; Innovation</w:t>
      </w:r>
    </w:p>
    <w:p w14:paraId="3D7B78D9" w14:textId="77777777" w:rsidR="00A8312D" w:rsidRDefault="0076433E" w:rsidP="00A8312D">
      <w:pPr>
        <w:pStyle w:val="Paragraphedeliste"/>
        <w:numPr>
          <w:ilvl w:val="0"/>
          <w:numId w:val="18"/>
        </w:numPr>
      </w:pPr>
      <w:r>
        <w:t>avoir fait la preuve analytique ou expérime</w:t>
      </w:r>
      <w:r w:rsidR="001F6B5A">
        <w:t>ntale du principe ou du concept</w:t>
      </w:r>
    </w:p>
    <w:p w14:paraId="5A22283B" w14:textId="5B3FE686" w:rsidR="00A8312D" w:rsidRDefault="00A8312D" w:rsidP="00A8312D">
      <w:pPr>
        <w:pStyle w:val="Paragraphedeliste"/>
        <w:numPr>
          <w:ilvl w:val="0"/>
          <w:numId w:val="18"/>
        </w:numPr>
      </w:pPr>
      <w:r>
        <w:t>a</w:t>
      </w:r>
      <w:r w:rsidRPr="00A8312D">
        <w:t>voir identifié un ou des partenaires industriels susceptibles de commercialiser la technologie</w:t>
      </w:r>
    </w:p>
    <w:p w14:paraId="2DF5A01D" w14:textId="77777777" w:rsidR="008F3B28" w:rsidRDefault="00652420" w:rsidP="003D6D58">
      <w:pPr>
        <w:jc w:val="both"/>
      </w:pPr>
      <w:r w:rsidRPr="00652420">
        <w:t>Les financements alloués pour cha</w:t>
      </w:r>
      <w:r w:rsidR="00DA6547">
        <w:t>que projet retenu seront de 100k</w:t>
      </w:r>
      <w:r w:rsidRPr="00652420">
        <w:t xml:space="preserve"> Euros au maximum</w:t>
      </w:r>
      <w:r w:rsidR="003E605C">
        <w:t xml:space="preserve"> (50k Euros maximum pour les projets logiciels et base de données)</w:t>
      </w:r>
      <w:r w:rsidRPr="00652420">
        <w:t xml:space="preserve">. </w:t>
      </w:r>
      <w:r w:rsidR="002307A7">
        <w:t>Les actions financées par le</w:t>
      </w:r>
      <w:r w:rsidR="0063255D">
        <w:t> Booster Innovation couvrent :</w:t>
      </w:r>
      <w:r w:rsidR="008F3B28" w:rsidRPr="008F3B28">
        <w:t xml:space="preserve"> </w:t>
      </w:r>
    </w:p>
    <w:p w14:paraId="1F9B08F5" w14:textId="77777777" w:rsidR="0061260C" w:rsidRDefault="00E94C36" w:rsidP="0061260C">
      <w:pPr>
        <w:pStyle w:val="Paragraphedeliste"/>
        <w:numPr>
          <w:ilvl w:val="0"/>
          <w:numId w:val="20"/>
        </w:numPr>
        <w:ind w:left="1134"/>
      </w:pPr>
      <w:r>
        <w:t>le</w:t>
      </w:r>
      <w:r w:rsidR="00FC314D">
        <w:t xml:space="preserve"> prototypage</w:t>
      </w:r>
    </w:p>
    <w:p w14:paraId="5000D0AC" w14:textId="77777777" w:rsidR="0061260C" w:rsidRDefault="00FC314D" w:rsidP="0061260C">
      <w:pPr>
        <w:pStyle w:val="Paragraphedeliste"/>
        <w:numPr>
          <w:ilvl w:val="0"/>
          <w:numId w:val="20"/>
        </w:numPr>
        <w:ind w:left="1134"/>
      </w:pPr>
      <w:r>
        <w:t xml:space="preserve">les prestations de service </w:t>
      </w:r>
    </w:p>
    <w:p w14:paraId="430C4DCE" w14:textId="69ADEA42" w:rsidR="002307A7" w:rsidRDefault="00E94C36" w:rsidP="0061260C">
      <w:pPr>
        <w:pStyle w:val="Paragraphedeliste"/>
        <w:numPr>
          <w:ilvl w:val="0"/>
          <w:numId w:val="20"/>
        </w:numPr>
        <w:ind w:left="1134"/>
      </w:pPr>
      <w:r>
        <w:t>l</w:t>
      </w:r>
      <w:r w:rsidR="002307A7">
        <w:t>a validation de</w:t>
      </w:r>
      <w:r w:rsidR="0026625E">
        <w:t xml:space="preserve"> méthodes sur collections biologiques</w:t>
      </w:r>
    </w:p>
    <w:p w14:paraId="4A11A66F" w14:textId="77777777" w:rsidR="00FC314D" w:rsidRDefault="003D0EBC" w:rsidP="003D6D58">
      <w:pPr>
        <w:jc w:val="both"/>
      </w:pPr>
      <w:r>
        <w:t>Attention, l</w:t>
      </w:r>
      <w:r w:rsidR="00293D8D">
        <w:t>es essais clinique</w:t>
      </w:r>
      <w:r w:rsidR="00FC314D">
        <w:t>s</w:t>
      </w:r>
      <w:r w:rsidR="00293D8D">
        <w:t xml:space="preserve"> sont exclus du périmètre de financement du fonds Booster Innovation.</w:t>
      </w:r>
    </w:p>
    <w:p w14:paraId="222ADEEC" w14:textId="79EDAEAB" w:rsidR="00930FDC" w:rsidRPr="00C308E1" w:rsidRDefault="008B51D4" w:rsidP="003D6D58">
      <w:pPr>
        <w:jc w:val="both"/>
        <w:rPr>
          <w:rFonts w:ascii="Arial Narrow" w:hAnsi="Arial Narrow" w:cs="Comic Sans MS"/>
          <w:b/>
        </w:rPr>
      </w:pPr>
      <w:r>
        <w:t>L’</w:t>
      </w:r>
      <w:r w:rsidR="0063255D">
        <w:t xml:space="preserve">AAP </w:t>
      </w:r>
      <w:r w:rsidR="00424EF9" w:rsidRPr="00424EF9">
        <w:t xml:space="preserve">« Booster Innovation » </w:t>
      </w:r>
      <w:r w:rsidR="0063255D">
        <w:t xml:space="preserve">est ouvert à compter du </w:t>
      </w:r>
      <w:r w:rsidR="0061260C">
        <w:t>13</w:t>
      </w:r>
      <w:r w:rsidR="005E3D4A">
        <w:t xml:space="preserve"> </w:t>
      </w:r>
      <w:r w:rsidR="0061260C">
        <w:t>septembre</w:t>
      </w:r>
      <w:r w:rsidR="00424EF9">
        <w:t xml:space="preserve"> 20</w:t>
      </w:r>
      <w:r w:rsidR="003D0EBC">
        <w:t>2</w:t>
      </w:r>
      <w:r w:rsidR="00EC0EEF">
        <w:t>1</w:t>
      </w:r>
      <w:r w:rsidR="002145FC">
        <w:t xml:space="preserve">. </w:t>
      </w:r>
      <w:r w:rsidR="0063255D">
        <w:t xml:space="preserve">Les dossiers seront évalués par un comité indépendant </w:t>
      </w:r>
      <w:r w:rsidR="0063255D" w:rsidRPr="002145FC">
        <w:rPr>
          <w:i/>
        </w:rPr>
        <w:t>ad hoc</w:t>
      </w:r>
      <w:r w:rsidR="0063255D">
        <w:t xml:space="preserve"> selon le calendrier ci-dessous :</w:t>
      </w:r>
      <w:r w:rsidR="00CF3737">
        <w:t xml:space="preserve"> </w:t>
      </w:r>
      <w:r w:rsidR="00CE7E95">
        <w:rPr>
          <w:b/>
        </w:rPr>
        <w:t>lundi</w:t>
      </w:r>
      <w:r w:rsidR="00CE7E95" w:rsidRPr="00CE7E95">
        <w:rPr>
          <w:b/>
        </w:rPr>
        <w:t xml:space="preserve"> </w:t>
      </w:r>
      <w:r w:rsidR="00CF3737" w:rsidRPr="00CE7E95">
        <w:rPr>
          <w:b/>
        </w:rPr>
        <w:t>1</w:t>
      </w:r>
      <w:r w:rsidR="00CE7E95" w:rsidRPr="00CE7E95">
        <w:rPr>
          <w:b/>
        </w:rPr>
        <w:t>8</w:t>
      </w:r>
      <w:r w:rsidR="00CF3737" w:rsidRPr="00CE7E95">
        <w:rPr>
          <w:b/>
        </w:rPr>
        <w:t xml:space="preserve"> octobre </w:t>
      </w:r>
      <w:r w:rsidR="00CE7E95" w:rsidRPr="00CE7E95">
        <w:rPr>
          <w:b/>
        </w:rPr>
        <w:t>à</w:t>
      </w:r>
      <w:r w:rsidR="00CE7E95">
        <w:rPr>
          <w:b/>
        </w:rPr>
        <w:t xml:space="preserve"> </w:t>
      </w:r>
      <w:r w:rsidR="00CE7E95" w:rsidRPr="00CE7E95">
        <w:rPr>
          <w:b/>
        </w:rPr>
        <w:t>8</w:t>
      </w:r>
      <w:r w:rsidR="00CF3737" w:rsidRPr="00CE7E95">
        <w:rPr>
          <w:b/>
        </w:rPr>
        <w:t>H</w:t>
      </w: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2089"/>
      </w:tblGrid>
      <w:tr w:rsidR="0061260C" w:rsidRPr="00B14C93" w14:paraId="32E34A33" w14:textId="77777777" w:rsidTr="0061260C">
        <w:trPr>
          <w:trHeight w:val="423"/>
          <w:jc w:val="center"/>
        </w:trPr>
        <w:tc>
          <w:tcPr>
            <w:tcW w:w="3576" w:type="dxa"/>
            <w:shd w:val="clear" w:color="auto" w:fill="auto"/>
          </w:tcPr>
          <w:p w14:paraId="61B6BB1B" w14:textId="77777777" w:rsidR="0061260C" w:rsidRPr="00B14C93" w:rsidRDefault="0061260C" w:rsidP="0020047E">
            <w:pPr>
              <w:pStyle w:val="Corpsdetexte"/>
              <w:rPr>
                <w:rFonts w:ascii="Arial Narrow" w:hAnsi="Arial Narrow" w:cs="Comic Sans MS"/>
                <w:b/>
                <w:bCs/>
                <w:i/>
                <w:iCs/>
                <w:color w:val="auto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3A34DD91" w14:textId="66BE8BCA" w:rsidR="0061260C" w:rsidRPr="00B14C93" w:rsidRDefault="0061260C" w:rsidP="0061260C">
            <w:pPr>
              <w:pStyle w:val="Corpsdetexte"/>
              <w:jc w:val="center"/>
              <w:rPr>
                <w:rFonts w:ascii="Arial Narrow" w:hAnsi="Arial Narrow" w:cs="Comic Sans MS"/>
                <w:b/>
                <w:bCs/>
                <w:i/>
                <w:iCs/>
                <w:color w:val="auto"/>
              </w:rPr>
            </w:pPr>
            <w:r>
              <w:rPr>
                <w:rFonts w:ascii="Arial Narrow" w:hAnsi="Arial Narrow" w:cs="Comic Sans MS"/>
                <w:b/>
                <w:bCs/>
                <w:i/>
                <w:iCs/>
                <w:color w:val="auto"/>
              </w:rPr>
              <w:t>AAP 2021 n°3</w:t>
            </w:r>
          </w:p>
        </w:tc>
      </w:tr>
      <w:tr w:rsidR="0061260C" w:rsidRPr="00B14C93" w14:paraId="40A5FEE9" w14:textId="77777777" w:rsidTr="0061260C">
        <w:trPr>
          <w:jc w:val="center"/>
        </w:trPr>
        <w:tc>
          <w:tcPr>
            <w:tcW w:w="3576" w:type="dxa"/>
            <w:shd w:val="clear" w:color="auto" w:fill="auto"/>
            <w:vAlign w:val="center"/>
          </w:tcPr>
          <w:p w14:paraId="54A25AF8" w14:textId="77777777" w:rsidR="0061260C" w:rsidRPr="002A7601" w:rsidRDefault="0061260C" w:rsidP="0020047E">
            <w:pPr>
              <w:pStyle w:val="Corpsdetexte"/>
              <w:jc w:val="center"/>
              <w:rPr>
                <w:rFonts w:ascii="Arial Narrow" w:eastAsiaTheme="minorHAnsi" w:hAnsi="Arial Narrow" w:cstheme="minorBidi"/>
                <w:i/>
                <w:color w:val="auto"/>
                <w:sz w:val="22"/>
                <w:szCs w:val="22"/>
                <w:lang w:eastAsia="en-US"/>
              </w:rPr>
            </w:pPr>
            <w:r w:rsidRPr="002A7601">
              <w:rPr>
                <w:rFonts w:ascii="Arial Narrow" w:eastAsiaTheme="minorHAnsi" w:hAnsi="Arial Narrow" w:cstheme="minorBidi"/>
                <w:i/>
                <w:color w:val="auto"/>
                <w:sz w:val="22"/>
                <w:szCs w:val="22"/>
                <w:lang w:eastAsia="en-US"/>
              </w:rPr>
              <w:t>Clôture des dépôts de dossiers complets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388D121" w14:textId="266355A7" w:rsidR="0061260C" w:rsidRPr="002A7601" w:rsidRDefault="0061260C" w:rsidP="0061260C">
            <w:pPr>
              <w:pStyle w:val="Corpsdetexte"/>
              <w:jc w:val="center"/>
              <w:rPr>
                <w:rFonts w:ascii="Arial Narrow" w:eastAsiaTheme="minorHAnsi" w:hAnsi="Arial Narrow" w:cstheme="minorBidi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i/>
                <w:color w:val="auto"/>
                <w:sz w:val="22"/>
                <w:szCs w:val="22"/>
                <w:lang w:eastAsia="en-US"/>
              </w:rPr>
              <w:t>15</w:t>
            </w:r>
            <w:r w:rsidRPr="002A7601">
              <w:rPr>
                <w:rFonts w:ascii="Arial Narrow" w:eastAsiaTheme="minorHAnsi" w:hAnsi="Arial Narrow" w:cstheme="minorBid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theme="minorBidi"/>
                <w:i/>
                <w:color w:val="auto"/>
                <w:sz w:val="22"/>
                <w:szCs w:val="22"/>
                <w:lang w:eastAsia="en-US"/>
              </w:rPr>
              <w:t xml:space="preserve">octobre </w:t>
            </w:r>
            <w:r w:rsidRPr="002A7601">
              <w:rPr>
                <w:rFonts w:ascii="Arial Narrow" w:eastAsiaTheme="minorHAnsi" w:hAnsi="Arial Narrow" w:cstheme="minorBidi"/>
                <w:i/>
                <w:color w:val="auto"/>
                <w:sz w:val="22"/>
                <w:szCs w:val="22"/>
                <w:lang w:eastAsia="en-US"/>
              </w:rPr>
              <w:t>20</w:t>
            </w:r>
            <w:r>
              <w:rPr>
                <w:rFonts w:ascii="Arial Narrow" w:eastAsiaTheme="minorHAnsi" w:hAnsi="Arial Narrow" w:cstheme="minorBidi"/>
                <w:i/>
                <w:color w:val="auto"/>
                <w:sz w:val="22"/>
                <w:szCs w:val="22"/>
                <w:lang w:eastAsia="en-US"/>
              </w:rPr>
              <w:t>21</w:t>
            </w:r>
          </w:p>
        </w:tc>
      </w:tr>
      <w:tr w:rsidR="0061260C" w:rsidRPr="00B14C93" w14:paraId="0E374C07" w14:textId="77777777" w:rsidTr="0061260C">
        <w:trPr>
          <w:jc w:val="center"/>
        </w:trPr>
        <w:tc>
          <w:tcPr>
            <w:tcW w:w="3576" w:type="dxa"/>
            <w:shd w:val="clear" w:color="auto" w:fill="auto"/>
          </w:tcPr>
          <w:p w14:paraId="3B311ABE" w14:textId="77777777" w:rsidR="0061260C" w:rsidRPr="002A7601" w:rsidRDefault="0061260C" w:rsidP="0020047E">
            <w:pPr>
              <w:pStyle w:val="Corpsdetexte"/>
              <w:jc w:val="center"/>
              <w:rPr>
                <w:rFonts w:ascii="Arial Narrow" w:eastAsiaTheme="minorHAnsi" w:hAnsi="Arial Narrow" w:cstheme="minorBidi"/>
                <w:i/>
                <w:color w:val="auto"/>
                <w:sz w:val="22"/>
                <w:szCs w:val="22"/>
                <w:lang w:eastAsia="en-US"/>
              </w:rPr>
            </w:pPr>
            <w:r w:rsidRPr="002A7601">
              <w:rPr>
                <w:rFonts w:ascii="Arial Narrow" w:eastAsiaTheme="minorHAnsi" w:hAnsi="Arial Narrow" w:cstheme="minorBidi"/>
                <w:i/>
                <w:color w:val="auto"/>
                <w:sz w:val="22"/>
                <w:szCs w:val="22"/>
                <w:lang w:eastAsia="en-US"/>
              </w:rPr>
              <w:t>Date de réponse pour le financement</w:t>
            </w:r>
          </w:p>
        </w:tc>
        <w:tc>
          <w:tcPr>
            <w:tcW w:w="2089" w:type="dxa"/>
            <w:shd w:val="clear" w:color="auto" w:fill="auto"/>
          </w:tcPr>
          <w:p w14:paraId="65DBCCA7" w14:textId="1BF8DD84" w:rsidR="0061260C" w:rsidRPr="002A7601" w:rsidRDefault="0061260C" w:rsidP="0061260C">
            <w:pPr>
              <w:pStyle w:val="Corpsdetexte"/>
              <w:jc w:val="center"/>
              <w:rPr>
                <w:rFonts w:ascii="Arial Narrow" w:eastAsiaTheme="minorHAnsi" w:hAnsi="Arial Narrow" w:cstheme="minorBidi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i/>
                <w:color w:val="auto"/>
                <w:sz w:val="22"/>
                <w:szCs w:val="22"/>
                <w:lang w:eastAsia="en-US"/>
              </w:rPr>
              <w:t>Fin décembre 2021</w:t>
            </w:r>
          </w:p>
        </w:tc>
      </w:tr>
    </w:tbl>
    <w:p w14:paraId="7A6C5100" w14:textId="77777777" w:rsidR="0020047E" w:rsidRDefault="0020047E" w:rsidP="00052B53">
      <w:pPr>
        <w:pStyle w:val="Lgende"/>
        <w:spacing w:before="0" w:beforeAutospacing="0" w:after="0" w:afterAutospacing="0"/>
        <w:jc w:val="center"/>
        <w:rPr>
          <w:rFonts w:ascii="Arial Narrow" w:hAnsi="Arial Narrow" w:cs="Comic Sans MS"/>
          <w:b/>
          <w:i/>
        </w:rPr>
      </w:pPr>
    </w:p>
    <w:p w14:paraId="117EC1C4" w14:textId="2CDF9F40" w:rsidR="0063255D" w:rsidRDefault="0063255D" w:rsidP="003D6D58">
      <w:pPr>
        <w:jc w:val="both"/>
      </w:pPr>
      <w:r>
        <w:t>Les projets retenus et financés devront remplir les critères de sélection suivants :</w:t>
      </w:r>
    </w:p>
    <w:p w14:paraId="6EE877A8" w14:textId="77777777" w:rsidR="00CE7E95" w:rsidRDefault="00CE7E95" w:rsidP="00CE7E95">
      <w:pPr>
        <w:pStyle w:val="Paragraphedeliste"/>
        <w:numPr>
          <w:ilvl w:val="0"/>
          <w:numId w:val="21"/>
        </w:numPr>
        <w:ind w:left="1134"/>
      </w:pPr>
      <w:r>
        <w:t>f</w:t>
      </w:r>
      <w:r w:rsidR="005B03E4">
        <w:t xml:space="preserve">aisabilité du projet et impact de ses résultats </w:t>
      </w:r>
      <w:r>
        <w:t>sur le potentiel de transfert</w:t>
      </w:r>
    </w:p>
    <w:p w14:paraId="066E792A" w14:textId="77777777" w:rsidR="00CE7E95" w:rsidRDefault="00CB74F4" w:rsidP="00CE7E95">
      <w:pPr>
        <w:pStyle w:val="Paragraphedeliste"/>
        <w:numPr>
          <w:ilvl w:val="0"/>
          <w:numId w:val="21"/>
        </w:numPr>
        <w:ind w:left="1134"/>
      </w:pPr>
      <w:r>
        <w:t>é</w:t>
      </w:r>
      <w:r w:rsidR="005B03E4">
        <w:t>tat et nature d</w:t>
      </w:r>
      <w:r w:rsidR="00CE7E95">
        <w:t>e la concurrence scientifique</w:t>
      </w:r>
    </w:p>
    <w:p w14:paraId="069088C3" w14:textId="77777777" w:rsidR="00CE7E95" w:rsidRDefault="00CB74F4" w:rsidP="00CE7E95">
      <w:pPr>
        <w:pStyle w:val="Paragraphedeliste"/>
        <w:numPr>
          <w:ilvl w:val="0"/>
          <w:numId w:val="21"/>
        </w:numPr>
        <w:ind w:left="1134"/>
      </w:pPr>
      <w:r>
        <w:t>o</w:t>
      </w:r>
      <w:r w:rsidR="005B03E4">
        <w:t xml:space="preserve">pportunités du marché (taille, existence d’un besoin non couvert, prévalence de la maladie ou du besoin, concurrence, </w:t>
      </w:r>
      <w:r w:rsidR="005B03E4" w:rsidRPr="00CE7E95">
        <w:rPr>
          <w:i/>
        </w:rPr>
        <w:t>etc.</w:t>
      </w:r>
      <w:r w:rsidR="00CE7E95">
        <w:t>)</w:t>
      </w:r>
    </w:p>
    <w:p w14:paraId="46DC306E" w14:textId="4B3D37BF" w:rsidR="005B03E4" w:rsidRDefault="00CB74F4" w:rsidP="00CE7E95">
      <w:pPr>
        <w:pStyle w:val="Paragraphedeliste"/>
        <w:numPr>
          <w:ilvl w:val="0"/>
          <w:numId w:val="21"/>
        </w:numPr>
        <w:ind w:left="1134"/>
      </w:pPr>
      <w:r>
        <w:t>p</w:t>
      </w:r>
      <w:r w:rsidR="005B03E4">
        <w:t>otentiel de valorisation pour l’exploitation et/ou la diffusion de la technologie (propriété intellectuelle et développement économique)</w:t>
      </w:r>
    </w:p>
    <w:p w14:paraId="083AB698" w14:textId="4CCC9308" w:rsidR="001D6311" w:rsidRPr="001D6311" w:rsidRDefault="001D6311" w:rsidP="00BE1716">
      <w:pPr>
        <w:rPr>
          <w:b/>
        </w:rPr>
      </w:pPr>
      <w:r w:rsidRPr="001D6311">
        <w:rPr>
          <w:b/>
        </w:rPr>
        <w:lastRenderedPageBreak/>
        <w:t>La Charte de Fonctionnement du Booster Innovatio</w:t>
      </w:r>
      <w:r w:rsidR="00772405">
        <w:rPr>
          <w:b/>
        </w:rPr>
        <w:t xml:space="preserve">n peut être </w:t>
      </w:r>
      <w:hyperlink r:id="rId7" w:history="1">
        <w:r w:rsidR="00772405" w:rsidRPr="00772405">
          <w:rPr>
            <w:rStyle w:val="Lienhypertexte"/>
            <w:b/>
          </w:rPr>
          <w:t>télécha</w:t>
        </w:r>
        <w:r w:rsidR="00772405" w:rsidRPr="00772405">
          <w:rPr>
            <w:rStyle w:val="Lienhypertexte"/>
            <w:b/>
          </w:rPr>
          <w:t>r</w:t>
        </w:r>
        <w:r w:rsidR="00772405" w:rsidRPr="00772405">
          <w:rPr>
            <w:rStyle w:val="Lienhypertexte"/>
            <w:b/>
          </w:rPr>
          <w:t>gée ici </w:t>
        </w:r>
      </w:hyperlink>
    </w:p>
    <w:p w14:paraId="4F7B9566" w14:textId="77777777" w:rsidR="00CB74F4" w:rsidRPr="0063255D" w:rsidRDefault="00F523F2" w:rsidP="003D6D58">
      <w:pPr>
        <w:jc w:val="both"/>
      </w:pPr>
      <w:r w:rsidRPr="00EC1041">
        <w:rPr>
          <w:b/>
        </w:rPr>
        <w:t>L</w:t>
      </w:r>
      <w:r w:rsidR="00591E68" w:rsidRPr="00EC1041">
        <w:rPr>
          <w:b/>
        </w:rPr>
        <w:t xml:space="preserve">es documents </w:t>
      </w:r>
      <w:r w:rsidRPr="00EC1041">
        <w:rPr>
          <w:b/>
        </w:rPr>
        <w:t>nécessaires pour remplir le dossier</w:t>
      </w:r>
      <w:r w:rsidR="00591E68" w:rsidRPr="00EC1041">
        <w:rPr>
          <w:b/>
        </w:rPr>
        <w:t xml:space="preserve"> </w:t>
      </w:r>
      <w:r w:rsidRPr="00EC1041">
        <w:rPr>
          <w:b/>
        </w:rPr>
        <w:t>de candidature à l’</w:t>
      </w:r>
      <w:r w:rsidR="00591E68" w:rsidRPr="00EC1041">
        <w:rPr>
          <w:b/>
        </w:rPr>
        <w:t xml:space="preserve">AAP Booster Innovation </w:t>
      </w:r>
      <w:r w:rsidRPr="00EC1041">
        <w:rPr>
          <w:b/>
        </w:rPr>
        <w:t>doivent être demandés à l’adresse suivante</w:t>
      </w:r>
      <w:r w:rsidR="00591E68" w:rsidRPr="00EC1041">
        <w:rPr>
          <w:b/>
        </w:rPr>
        <w:t xml:space="preserve">: </w:t>
      </w:r>
      <w:hyperlink r:id="rId8" w:history="1">
        <w:r w:rsidRPr="00EC1041">
          <w:rPr>
            <w:rStyle w:val="Lienhypertexte"/>
            <w:b/>
          </w:rPr>
          <w:t>booster.innovation@aphp.fr</w:t>
        </w:r>
      </w:hyperlink>
      <w:r w:rsidR="00CE7C4B" w:rsidRPr="00EC1041">
        <w:rPr>
          <w:b/>
        </w:rPr>
        <w:t xml:space="preserve"> </w:t>
      </w:r>
      <w:r w:rsidR="00703168">
        <w:rPr>
          <w:b/>
        </w:rPr>
        <w:t xml:space="preserve">ou en contactant </w:t>
      </w:r>
      <w:hyperlink r:id="rId9" w:history="1">
        <w:r w:rsidR="00703168" w:rsidRPr="00F765BB">
          <w:rPr>
            <w:rStyle w:val="Lienhypertexte"/>
            <w:b/>
          </w:rPr>
          <w:t>julien.matricon@aphp.fr</w:t>
        </w:r>
      </w:hyperlink>
      <w:r w:rsidR="00703168">
        <w:rPr>
          <w:b/>
        </w:rPr>
        <w:t xml:space="preserve"> </w:t>
      </w:r>
      <w:bookmarkStart w:id="0" w:name="_GoBack"/>
      <w:bookmarkEnd w:id="0"/>
    </w:p>
    <w:sectPr w:rsidR="00CB74F4" w:rsidRPr="0063255D" w:rsidSect="008F5ED4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FF0DF" w14:textId="77777777" w:rsidR="001950D1" w:rsidRDefault="001950D1" w:rsidP="00EE50D2">
      <w:pPr>
        <w:spacing w:after="0" w:line="240" w:lineRule="auto"/>
      </w:pPr>
      <w:r>
        <w:separator/>
      </w:r>
    </w:p>
  </w:endnote>
  <w:endnote w:type="continuationSeparator" w:id="0">
    <w:p w14:paraId="3841CC52" w14:textId="77777777" w:rsidR="001950D1" w:rsidRDefault="001950D1" w:rsidP="00EE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18607" w14:textId="12DB28B5" w:rsidR="00EE50D2" w:rsidRDefault="00EE50D2" w:rsidP="00EE50D2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2405">
      <w:rPr>
        <w:noProof/>
      </w:rPr>
      <w:t>2</w:t>
    </w:r>
    <w:r>
      <w:fldChar w:fldCharType="end"/>
    </w:r>
    <w:r>
      <w:t>/</w:t>
    </w:r>
    <w:r w:rsidR="001950D1">
      <w:fldChar w:fldCharType="begin"/>
    </w:r>
    <w:r w:rsidR="001950D1">
      <w:instrText xml:space="preserve"> NUMPAGES   \* MERGEFORMAT </w:instrText>
    </w:r>
    <w:r w:rsidR="001950D1">
      <w:fldChar w:fldCharType="separate"/>
    </w:r>
    <w:r w:rsidR="00772405">
      <w:rPr>
        <w:noProof/>
      </w:rPr>
      <w:t>2</w:t>
    </w:r>
    <w:r w:rsidR="001950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17BFA" w14:textId="77777777" w:rsidR="001950D1" w:rsidRDefault="001950D1" w:rsidP="00EE50D2">
      <w:pPr>
        <w:spacing w:after="0" w:line="240" w:lineRule="auto"/>
      </w:pPr>
      <w:r>
        <w:separator/>
      </w:r>
    </w:p>
  </w:footnote>
  <w:footnote w:type="continuationSeparator" w:id="0">
    <w:p w14:paraId="070452EF" w14:textId="77777777" w:rsidR="001950D1" w:rsidRDefault="001950D1" w:rsidP="00EE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2E8"/>
    <w:multiLevelType w:val="hybridMultilevel"/>
    <w:tmpl w:val="03C034C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AC5471"/>
    <w:multiLevelType w:val="multilevel"/>
    <w:tmpl w:val="AA9A562C"/>
    <w:lvl w:ilvl="0">
      <w:start w:val="1"/>
      <w:numFmt w:val="upperRoman"/>
      <w:lvlText w:val="%1. "/>
      <w:lvlJc w:val="left"/>
      <w:pPr>
        <w:ind w:left="360" w:hanging="360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3. "/>
      <w:lvlJc w:val="left"/>
      <w:pPr>
        <w:ind w:left="1080" w:hanging="360"/>
      </w:pPr>
      <w:rPr>
        <w:rFonts w:ascii="Arial" w:hAnsi="Arial" w:hint="default"/>
        <w:b w:val="0"/>
        <w:i w:val="0"/>
        <w:sz w:val="28"/>
      </w:rPr>
    </w:lvl>
    <w:lvl w:ilvl="3">
      <w:start w:val="1"/>
      <w:numFmt w:val="lowerLetter"/>
      <w:lvlText w:val="%4. 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 "/>
      <w:lvlJc w:val="left"/>
      <w:pPr>
        <w:ind w:left="1800" w:hanging="360"/>
      </w:pPr>
      <w:rPr>
        <w:rFonts w:ascii="Arial" w:hAnsi="Arial" w:hint="default"/>
        <w:b w:val="0"/>
        <w:i/>
        <w:sz w:val="24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F45BAA"/>
    <w:multiLevelType w:val="hybridMultilevel"/>
    <w:tmpl w:val="F066332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0DCFC24">
      <w:numFmt w:val="bullet"/>
      <w:lvlText w:val="•"/>
      <w:lvlJc w:val="left"/>
      <w:pPr>
        <w:ind w:left="1866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073E8C"/>
    <w:multiLevelType w:val="hybridMultilevel"/>
    <w:tmpl w:val="6232A5D0"/>
    <w:lvl w:ilvl="0" w:tplc="BF0E3260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73712"/>
    <w:multiLevelType w:val="hybridMultilevel"/>
    <w:tmpl w:val="EB828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72D1"/>
    <w:multiLevelType w:val="hybridMultilevel"/>
    <w:tmpl w:val="3B8A83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85A66"/>
    <w:multiLevelType w:val="hybridMultilevel"/>
    <w:tmpl w:val="3250B160"/>
    <w:lvl w:ilvl="0" w:tplc="DEFAD5F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4038E"/>
    <w:multiLevelType w:val="multilevel"/>
    <w:tmpl w:val="22B611BE"/>
    <w:styleLink w:val="JulienM2PIP8"/>
    <w:lvl w:ilvl="0">
      <w:start w:val="1"/>
      <w:numFmt w:val="decimal"/>
      <w:lvlText w:val="%1. "/>
      <w:lvlJc w:val="left"/>
      <w:pPr>
        <w:ind w:left="1800" w:hanging="360"/>
      </w:pPr>
      <w:rPr>
        <w:rFonts w:ascii="Arial" w:hAnsi="Arial" w:hint="default"/>
        <w:b/>
        <w:caps/>
        <w:smallCaps w:val="0"/>
        <w:sz w:val="28"/>
      </w:rPr>
    </w:lvl>
    <w:lvl w:ilvl="1">
      <w:start w:val="1"/>
      <w:numFmt w:val="upperLetter"/>
      <w:lvlText w:val="%2)"/>
      <w:lvlJc w:val="left"/>
      <w:pPr>
        <w:ind w:left="2160" w:hanging="360"/>
      </w:pPr>
      <w:rPr>
        <w:rFonts w:ascii="Arial" w:hAnsi="Arial" w:hint="default"/>
        <w:b/>
        <w:sz w:val="28"/>
      </w:rPr>
    </w:lvl>
    <w:lvl w:ilvl="2">
      <w:start w:val="1"/>
      <w:numFmt w:val="decimal"/>
      <w:lvlText w:val="%3"/>
      <w:lvlJc w:val="left"/>
      <w:pPr>
        <w:ind w:left="2520" w:hanging="36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8" w15:restartNumberingAfterBreak="0">
    <w:nsid w:val="7CDB2DC8"/>
    <w:multiLevelType w:val="hybridMultilevel"/>
    <w:tmpl w:val="FD206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3"/>
  </w:num>
  <w:num w:numId="15">
    <w:abstractNumId w:val="3"/>
  </w:num>
  <w:num w:numId="16">
    <w:abstractNumId w:val="5"/>
  </w:num>
  <w:num w:numId="17">
    <w:abstractNumId w:val="6"/>
  </w:num>
  <w:num w:numId="18">
    <w:abstractNumId w:val="2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6F"/>
    <w:rsid w:val="0002267F"/>
    <w:rsid w:val="00031557"/>
    <w:rsid w:val="00052B53"/>
    <w:rsid w:val="00054A79"/>
    <w:rsid w:val="0008181E"/>
    <w:rsid w:val="000968C2"/>
    <w:rsid w:val="000B23C0"/>
    <w:rsid w:val="000C03FA"/>
    <w:rsid w:val="001012A7"/>
    <w:rsid w:val="00101504"/>
    <w:rsid w:val="00113043"/>
    <w:rsid w:val="0013384F"/>
    <w:rsid w:val="001470C6"/>
    <w:rsid w:val="00152A3C"/>
    <w:rsid w:val="00167912"/>
    <w:rsid w:val="0017438A"/>
    <w:rsid w:val="001950D1"/>
    <w:rsid w:val="001B14EB"/>
    <w:rsid w:val="001D6311"/>
    <w:rsid w:val="001F6B5A"/>
    <w:rsid w:val="0020047E"/>
    <w:rsid w:val="002145FC"/>
    <w:rsid w:val="00220B19"/>
    <w:rsid w:val="00225720"/>
    <w:rsid w:val="002307A7"/>
    <w:rsid w:val="00237A1D"/>
    <w:rsid w:val="00250E55"/>
    <w:rsid w:val="0026625E"/>
    <w:rsid w:val="00274B6F"/>
    <w:rsid w:val="00291BBB"/>
    <w:rsid w:val="00293D8D"/>
    <w:rsid w:val="002A7601"/>
    <w:rsid w:val="002D6ADF"/>
    <w:rsid w:val="002F31AD"/>
    <w:rsid w:val="003146FF"/>
    <w:rsid w:val="00323B14"/>
    <w:rsid w:val="00324495"/>
    <w:rsid w:val="003308BF"/>
    <w:rsid w:val="00330F34"/>
    <w:rsid w:val="0033747E"/>
    <w:rsid w:val="00380BB5"/>
    <w:rsid w:val="00385748"/>
    <w:rsid w:val="003D0EBC"/>
    <w:rsid w:val="003D6D58"/>
    <w:rsid w:val="003E605C"/>
    <w:rsid w:val="00424EF9"/>
    <w:rsid w:val="00480B78"/>
    <w:rsid w:val="004C50A2"/>
    <w:rsid w:val="00530C96"/>
    <w:rsid w:val="00591E68"/>
    <w:rsid w:val="005B03E4"/>
    <w:rsid w:val="005E3D4A"/>
    <w:rsid w:val="0061260C"/>
    <w:rsid w:val="00613FA3"/>
    <w:rsid w:val="0063255D"/>
    <w:rsid w:val="0063426E"/>
    <w:rsid w:val="00652420"/>
    <w:rsid w:val="00675D0C"/>
    <w:rsid w:val="00687A56"/>
    <w:rsid w:val="006B2EF1"/>
    <w:rsid w:val="006B4900"/>
    <w:rsid w:val="006B6266"/>
    <w:rsid w:val="006D0456"/>
    <w:rsid w:val="00703168"/>
    <w:rsid w:val="007401C0"/>
    <w:rsid w:val="0076433E"/>
    <w:rsid w:val="00772405"/>
    <w:rsid w:val="007903B5"/>
    <w:rsid w:val="007D0FD3"/>
    <w:rsid w:val="008002AC"/>
    <w:rsid w:val="008404A5"/>
    <w:rsid w:val="00844832"/>
    <w:rsid w:val="008761FF"/>
    <w:rsid w:val="008B51D4"/>
    <w:rsid w:val="008E631C"/>
    <w:rsid w:val="008F3B28"/>
    <w:rsid w:val="008F5ED4"/>
    <w:rsid w:val="00916325"/>
    <w:rsid w:val="00916C62"/>
    <w:rsid w:val="00930FDC"/>
    <w:rsid w:val="009C0779"/>
    <w:rsid w:val="00A154D0"/>
    <w:rsid w:val="00A21C5C"/>
    <w:rsid w:val="00A8312D"/>
    <w:rsid w:val="00AD09D3"/>
    <w:rsid w:val="00B36837"/>
    <w:rsid w:val="00B55710"/>
    <w:rsid w:val="00B639B1"/>
    <w:rsid w:val="00B82312"/>
    <w:rsid w:val="00BA16DC"/>
    <w:rsid w:val="00BD25D1"/>
    <w:rsid w:val="00BD2809"/>
    <w:rsid w:val="00BE1716"/>
    <w:rsid w:val="00C122A3"/>
    <w:rsid w:val="00C44177"/>
    <w:rsid w:val="00CB74F4"/>
    <w:rsid w:val="00CE7C4B"/>
    <w:rsid w:val="00CE7E95"/>
    <w:rsid w:val="00CF3737"/>
    <w:rsid w:val="00D2684E"/>
    <w:rsid w:val="00D55FC0"/>
    <w:rsid w:val="00D71E99"/>
    <w:rsid w:val="00DA6547"/>
    <w:rsid w:val="00DB32B7"/>
    <w:rsid w:val="00DB5E19"/>
    <w:rsid w:val="00DD2339"/>
    <w:rsid w:val="00DE0BF1"/>
    <w:rsid w:val="00E10408"/>
    <w:rsid w:val="00E1151E"/>
    <w:rsid w:val="00E53B54"/>
    <w:rsid w:val="00E558AE"/>
    <w:rsid w:val="00E62601"/>
    <w:rsid w:val="00E94C36"/>
    <w:rsid w:val="00EC0EEF"/>
    <w:rsid w:val="00EC1041"/>
    <w:rsid w:val="00EE50D2"/>
    <w:rsid w:val="00EF6C4D"/>
    <w:rsid w:val="00F11FA0"/>
    <w:rsid w:val="00F2088F"/>
    <w:rsid w:val="00F44B5C"/>
    <w:rsid w:val="00F523F2"/>
    <w:rsid w:val="00F60A27"/>
    <w:rsid w:val="00FA6F41"/>
    <w:rsid w:val="00FB7E76"/>
    <w:rsid w:val="00FC314D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55BA8"/>
  <w15:docId w15:val="{8BACB341-1F0A-4617-898E-95F2C0DF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5E"/>
  </w:style>
  <w:style w:type="paragraph" w:styleId="Titre1">
    <w:name w:val="heading 1"/>
    <w:basedOn w:val="Normal"/>
    <w:next w:val="Normal"/>
    <w:link w:val="Titre1Car"/>
    <w:uiPriority w:val="9"/>
    <w:qFormat/>
    <w:rsid w:val="00BA1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1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1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16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16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16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JulienM2PIP8">
    <w:name w:val="Julien M2PIP8"/>
    <w:uiPriority w:val="99"/>
    <w:rsid w:val="00A154D0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BA1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A1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A16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A16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A16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A16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phedeliste">
    <w:name w:val="List Paragraph"/>
    <w:basedOn w:val="Normal"/>
    <w:uiPriority w:val="34"/>
    <w:qFormat/>
    <w:rsid w:val="00380BB5"/>
    <w:pPr>
      <w:ind w:left="720"/>
      <w:contextualSpacing/>
    </w:pPr>
  </w:style>
  <w:style w:type="paragraph" w:styleId="Sansinterligne">
    <w:name w:val="No Spacing"/>
    <w:uiPriority w:val="1"/>
    <w:qFormat/>
    <w:rsid w:val="00380BB5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380BB5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DB5E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B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0D2"/>
  </w:style>
  <w:style w:type="paragraph" w:styleId="Pieddepage">
    <w:name w:val="footer"/>
    <w:basedOn w:val="Normal"/>
    <w:link w:val="PieddepageCar"/>
    <w:uiPriority w:val="99"/>
    <w:unhideWhenUsed/>
    <w:rsid w:val="00EE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0D2"/>
  </w:style>
  <w:style w:type="paragraph" w:styleId="Lgende">
    <w:name w:val="caption"/>
    <w:basedOn w:val="Normal"/>
    <w:qFormat/>
    <w:rsid w:val="0093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930FDC"/>
    <w:pPr>
      <w:spacing w:after="0" w:line="240" w:lineRule="auto"/>
      <w:jc w:val="both"/>
    </w:pPr>
    <w:rPr>
      <w:rFonts w:ascii="Verdana" w:eastAsia="Times New Roman" w:hAnsi="Verdana" w:cs="Verdana"/>
      <w:color w:val="FF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30FDC"/>
    <w:rPr>
      <w:rFonts w:ascii="Verdana" w:eastAsia="Times New Roman" w:hAnsi="Verdana" w:cs="Verdana"/>
      <w:color w:val="FF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D63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63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63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3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311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72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ster.innovation@aphp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pose.aphp.fr/u/4iyMvZosjM3wLIy2/368e8fdd-9961-4f32-909f-961d2dd9f65c?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lien.matricon@ap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MATRICON Julien</dc:creator>
  <cp:keywords/>
  <dc:description/>
  <cp:lastModifiedBy>SAHALI DIDIER Nadia</cp:lastModifiedBy>
  <cp:revision>2</cp:revision>
  <cp:lastPrinted>2017-01-10T07:57:00Z</cp:lastPrinted>
  <dcterms:created xsi:type="dcterms:W3CDTF">2021-09-13T14:35:00Z</dcterms:created>
  <dcterms:modified xsi:type="dcterms:W3CDTF">2021-09-13T14:35:00Z</dcterms:modified>
</cp:coreProperties>
</file>